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A73E4" w14:textId="5CB09C50" w:rsidR="00FD027A" w:rsidRDefault="00287DD9" w:rsidP="00351121">
      <w:pPr>
        <w:pStyle w:val="Heading1"/>
        <w:pageBreakBefore/>
        <w:rPr>
          <w:lang w:val="nl-NL"/>
        </w:rPr>
      </w:pPr>
      <w:proofErr w:type="spellStart"/>
      <w:r>
        <w:rPr>
          <w:lang w:val="nl-NL"/>
        </w:rPr>
        <w:t>References</w:t>
      </w:r>
      <w:proofErr w:type="spellEnd"/>
    </w:p>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Aaboe, A. (2001). Episodes from the early history of astronomy. In </w:t>
      </w:r>
      <w:r>
        <w:rPr>
          <w:b w:val="false"/>
          <w:bCs w:val="false"/>
          <w:i w:val="true"/>
          <w:iCs w:val="true"/>
        </w:rPr>
        <w:t xml:space="preserve">Springer eBooks</w:t>
      </w:r>
      <w:r>
        <w:rPr>
          <w:b w:val="false"/>
          <w:bCs w:val="false"/>
          <w:i w:val="false"/>
          <w:iCs w:val="false"/>
        </w:rPr>
        <w:t xml:space="preserve">. </w:t>
      </w:r>
      <w:r>
        <w:rPr>
          <w:b w:val="false"/>
          <w:bCs w:val="false"/>
          <w:i w:val="false"/>
          <w:iCs w:val="false"/>
        </w:rPr>
        <w:t xml:space="preserve">https://doi.org/10.1007/978-1-4613-0109-7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Cuneiform tablet: commentary on Enuma Anu Enlil, tablet 5 | The Metropolitan Museum of Art</w:t>
      </w:r>
      <w:r>
        <w:rPr>
          <w:b w:val="false"/>
          <w:bCs w:val="false"/>
          <w:i w:val="false"/>
          <w:iCs w:val="false"/>
        </w:rPr>
        <w:t xml:space="preserve">. (n.d.). The Metropolitan Museum of Art. </w:t>
      </w:r>
      <w:r>
        <w:rPr>
          <w:b w:val="false"/>
          <w:bCs w:val="false"/>
          <w:i w:val="false"/>
          <w:iCs w:val="false"/>
        </w:rPr>
        <w:t xml:space="preserve">https://www.metmuseum.org/art/collection/search/321874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Hunger, H., &amp; Pingree, D. (2015). Astral Sciences in Mesopotamia. </w:t>
      </w:r>
      <w:r>
        <w:rPr>
          <w:b w:val="false"/>
          <w:bCs w:val="false"/>
          <w:i w:val="true"/>
          <w:iCs w:val="true"/>
        </w:rPr>
        <w:t xml:space="preserve">Brill</w:t>
      </w:r>
      <w:r>
        <w:rPr>
          <w:b w:val="false"/>
          <w:bCs w:val="false"/>
          <w:i w:val="false"/>
          <w:iCs w:val="false"/>
        </w:rPr>
        <w:t xml:space="preserve">. </w:t>
      </w:r>
      <w:r>
        <w:rPr>
          <w:b w:val="false"/>
          <w:bCs w:val="false"/>
          <w:i w:val="false"/>
          <w:iCs w:val="false"/>
        </w:rPr>
        <w:t xml:space="preserve">https://doi.org/10.1163/9789004294134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Kolev, R. (2007). </w:t>
      </w:r>
      <w:r>
        <w:rPr>
          <w:b w:val="false"/>
          <w:bCs w:val="false"/>
          <w:i w:val="true"/>
          <w:iCs w:val="true"/>
        </w:rPr>
        <w:t xml:space="preserve">THE “ENUMA ANU ENLIL” a PANORAMIC VIEW</w:t>
      </w:r>
      <w:r>
        <w:rPr>
          <w:b w:val="false"/>
          <w:bCs w:val="false"/>
          <w:i w:val="false"/>
          <w:iCs w:val="false"/>
        </w:rPr>
        <w:t xml:space="preserve">. </w:t>
      </w:r>
      <w:r>
        <w:rPr>
          <w:b w:val="false"/>
          <w:bCs w:val="false"/>
          <w:i w:val="false"/>
          <w:iCs w:val="false"/>
        </w:rPr>
        <w:t xml:space="preserve">https://www.babylonianastrology.com/downloads/Enuma_Anu_Enlil.pdf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Lambert, W. G., &amp; Reiner, E. (1987). Babylonian astrological omens and their stars. </w:t>
      </w:r>
      <w:r>
        <w:rPr>
          <w:b w:val="false"/>
          <w:bCs w:val="false"/>
          <w:i w:val="true"/>
          <w:iCs w:val="true"/>
        </w:rPr>
        <w:t xml:space="preserve">Journal of the American Oriental Society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107</w:t>
      </w:r>
      <w:r>
        <w:rPr>
          <w:b w:val="false"/>
          <w:bCs w:val="false"/>
          <w:i w:val="false"/>
          <w:iCs w:val="false"/>
        </w:rPr>
        <w:t xml:space="preserve">(1), 93. </w:t>
      </w:r>
      <w:r>
        <w:rPr>
          <w:b w:val="false"/>
          <w:bCs w:val="false"/>
          <w:i w:val="false"/>
          <w:iCs w:val="false"/>
        </w:rPr>
        <w:t xml:space="preserve">https://doi.org/10.2307/602955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Omens based on eclipses</w:t>
      </w:r>
      <w:r>
        <w:rPr>
          <w:b w:val="false"/>
          <w:bCs w:val="false"/>
          <w:i w:val="false"/>
          <w:iCs w:val="false"/>
        </w:rPr>
        <w:t xml:space="preserve">. (n.d.). </w:t>
      </w:r>
      <w:r>
        <w:rPr>
          <w:b w:val="false"/>
          <w:bCs w:val="false"/>
          <w:i w:val="false"/>
          <w:iCs w:val="false"/>
        </w:rPr>
        <w:t xml:space="preserve">https://brunelleschi.imss.fi.it/galileopalazzostrozzi/object/OmensBasedOnEclipses.html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Rochberg-Halton, F. (1983). Stellar distances in Early Babylonian Astronomy: A New Perspective on the Hilprecht Text (HS 229). </w:t>
      </w:r>
      <w:r>
        <w:rPr>
          <w:b w:val="false"/>
          <w:bCs w:val="false"/>
          <w:i w:val="true"/>
          <w:iCs w:val="true"/>
        </w:rPr>
        <w:t xml:space="preserve">Journal of Near Eastern Studies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42</w:t>
      </w:r>
      <w:r>
        <w:rPr>
          <w:b w:val="false"/>
          <w:bCs w:val="false"/>
          <w:i w:val="false"/>
          <w:iCs w:val="false"/>
        </w:rPr>
        <w:t xml:space="preserve">(3), 209–217. </w:t>
      </w:r>
      <w:r>
        <w:rPr>
          <w:b w:val="false"/>
          <w:bCs w:val="false"/>
          <w:i w:val="false"/>
          <w:iCs w:val="false"/>
        </w:rPr>
        <w:t xml:space="preserve">https://www.jstor.org/stable/545074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The history and practice of ancient astronomy</w:t>
      </w:r>
      <w:r>
        <w:rPr>
          <w:b w:val="false"/>
          <w:bCs w:val="false"/>
          <w:i w:val="false"/>
          <w:iCs w:val="false"/>
        </w:rPr>
        <w:t xml:space="preserve">. (n.d.). James Evans - Oxford University Press. </w:t>
      </w:r>
      <w:r>
        <w:rPr>
          <w:b w:val="false"/>
          <w:bCs w:val="false"/>
          <w:i w:val="false"/>
          <w:iCs w:val="false"/>
        </w:rPr>
        <w:t xml:space="preserve">https://global.oup.com/academic/product/the-history-and-practice-of-ancient-astronomy-9780195095395?cc=us&amp;lang=en&amp;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Van Der Waerden, B. L. (1951). Babylonian Astronomy. III. The earliest astronomical computations. </w:t>
      </w:r>
      <w:r>
        <w:rPr>
          <w:b w:val="false"/>
          <w:bCs w:val="false"/>
          <w:i w:val="true"/>
          <w:iCs w:val="true"/>
        </w:rPr>
        <w:t xml:space="preserve">Journal of Near Eastern Studies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10</w:t>
      </w:r>
      <w:r>
        <w:rPr>
          <w:b w:val="false"/>
          <w:bCs w:val="false"/>
          <w:i w:val="false"/>
          <w:iCs w:val="false"/>
        </w:rPr>
        <w:t xml:space="preserve">(1), 20–34. </w:t>
      </w:r>
      <w:r>
        <w:rPr>
          <w:b w:val="false"/>
          <w:bCs w:val="false"/>
          <w:i w:val="false"/>
          <w:iCs w:val="false"/>
        </w:rPr>
        <w:t xml:space="preserve">https://doi.org/10.1086/371009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(2023, September 13). </w:t>
      </w:r>
      <w:r>
        <w:rPr>
          <w:b w:val="false"/>
          <w:bCs w:val="false"/>
          <w:i w:val="true"/>
          <w:iCs w:val="true"/>
        </w:rPr>
        <w:t xml:space="preserve">Enuma anu enlil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https://en.wikipedia.org/wiki/Enuma_Anu_Enlil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(2024a, August 25). </w:t>
      </w:r>
      <w:r>
        <w:rPr>
          <w:b w:val="false"/>
          <w:bCs w:val="false"/>
          <w:i w:val="true"/>
          <w:iCs w:val="true"/>
        </w:rPr>
        <w:t xml:space="preserve">Babylonian star catalogues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https://en.wikipedia.org/wiki/Babylonian_star_catalogues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(2024b, November 21). </w:t>
      </w:r>
      <w:r>
        <w:rPr>
          <w:b w:val="false"/>
          <w:bCs w:val="false"/>
          <w:i w:val="true"/>
          <w:iCs w:val="true"/>
        </w:rPr>
        <w:t xml:space="preserve">Seleucus of Seleucia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https://en.wikipedia.org/wiki/Seleucus_of_Seleucia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(2025a, March 29). </w:t>
      </w:r>
      <w:r>
        <w:rPr>
          <w:b w:val="false"/>
          <w:bCs w:val="false"/>
          <w:i w:val="true"/>
          <w:iCs w:val="true"/>
        </w:rPr>
        <w:t xml:space="preserve">Babylonian astronomy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https://en.wikipedia.org/wiki/Babylonian_astronomy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(2025b, April 4). </w:t>
      </w:r>
      <w:r>
        <w:rPr>
          <w:b w:val="false"/>
          <w:bCs w:val="false"/>
          <w:i w:val="true"/>
          <w:iCs w:val="true"/>
        </w:rPr>
        <w:t xml:space="preserve">Saros (astronomy)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https://en.wikipedia.org/wiki/Saros_(astronomy)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(2025c, April 16). </w:t>
      </w:r>
      <w:r>
        <w:rPr>
          <w:b w:val="false"/>
          <w:bCs w:val="false"/>
          <w:i w:val="true"/>
          <w:iCs w:val="true"/>
        </w:rPr>
        <w:t xml:space="preserve">MUL.APIN - Wikipedia</w:t>
      </w:r>
      <w:r>
        <w:rPr>
          <w:b w:val="false"/>
          <w:bCs w:val="false"/>
          <w:i w:val="false"/>
          <w:iCs w:val="false"/>
        </w:rPr>
        <w:t xml:space="preserve">. </w:t>
      </w:r>
      <w:r>
        <w:rPr>
          <w:b w:val="false"/>
          <w:bCs w:val="false"/>
          <w:i w:val="false"/>
          <w:iCs w:val="false"/>
        </w:rPr>
        <w:t xml:space="preserve">https://en.wikipedia.org/wiki/MUL.APIN</w:t>
      </w:r>
      <w:r>
        <w:rPr>
          <w:b w:val="false"/>
          <w:bCs w:val="false"/>
          <w:i w:val="false"/>
          <w:iCs w:val="false"/>
        </w:rPr>
        <w:t xml:space="preserve"/>
      </w:r>
    </w:p>
    <w:sectPr w:rsidR="00287DD9" w:rsidRPr="00287DD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5896A" w14:textId="77777777" w:rsidR="00454F77" w:rsidRDefault="00454F77">
      <w:pPr>
        <w:spacing w:line="240" w:lineRule="auto"/>
      </w:pPr>
      <w:r>
        <w:separator/>
      </w:r>
    </w:p>
  </w:endnote>
  <w:endnote w:type="continuationSeparator" w:id="0">
    <w:p w14:paraId="229F9308" w14:textId="77777777" w:rsidR="00454F77" w:rsidRDefault="00454F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B637A" w14:textId="2BC8D8A1" w:rsidR="00FD027A" w:rsidRDefault="00FD027A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93D68" w14:textId="77777777" w:rsidR="00454F77" w:rsidRDefault="00454F77">
      <w:pPr>
        <w:spacing w:line="240" w:lineRule="auto"/>
      </w:pPr>
      <w:r>
        <w:separator/>
      </w:r>
    </w:p>
  </w:footnote>
  <w:footnote w:type="continuationSeparator" w:id="0">
    <w:p w14:paraId="156F0B04" w14:textId="77777777" w:rsidR="00454F77" w:rsidRDefault="00454F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E003E" w14:textId="77777777" w:rsidR="00FD027A" w:rsidRDefault="000A150F">
    <w:pPr>
      <w:pStyle w:val="Header"/>
      <w:jc w:val="right"/>
    </w:pPr>
    <w:r>
      <w:fldChar w:fldCharType="begin"/>
    </w:r>
    <w:r>
      <w:instrText>PAGE</w:instrText>
    </w:r>
    <w:r>
      <w:fldChar w:fldCharType="separate"/>
    </w:r>
    <w:r w:rsidR="00351121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430AF"/>
    <w:multiLevelType w:val="hybridMultilevel"/>
    <w:tmpl w:val="D69A8A36"/>
    <w:lvl w:ilvl="0" w:tplc="D7AA5822">
      <w:start w:val="1"/>
      <w:numFmt w:val="bullet"/>
      <w:pStyle w:val="ListBullet"/>
      <w:lvlText w:val="●"/>
      <w:lvlJc w:val="left"/>
      <w:pPr>
        <w:ind w:left="720" w:hanging="360"/>
      </w:pPr>
    </w:lvl>
    <w:lvl w:ilvl="1" w:tplc="71F64D74">
      <w:start w:val="1"/>
      <w:numFmt w:val="bullet"/>
      <w:lvlText w:val="○"/>
      <w:lvlJc w:val="left"/>
      <w:pPr>
        <w:ind w:left="1440" w:hanging="360"/>
      </w:pPr>
    </w:lvl>
    <w:lvl w:ilvl="2" w:tplc="BA20E348">
      <w:start w:val="1"/>
      <w:numFmt w:val="bullet"/>
      <w:lvlText w:val="■"/>
      <w:lvlJc w:val="left"/>
      <w:pPr>
        <w:ind w:left="2160" w:hanging="360"/>
      </w:pPr>
    </w:lvl>
    <w:lvl w:ilvl="3" w:tplc="E5B295A6">
      <w:start w:val="1"/>
      <w:numFmt w:val="bullet"/>
      <w:lvlText w:val="●"/>
      <w:lvlJc w:val="left"/>
      <w:pPr>
        <w:ind w:left="2880" w:hanging="360"/>
      </w:pPr>
    </w:lvl>
    <w:lvl w:ilvl="4" w:tplc="AC20E2A0">
      <w:start w:val="1"/>
      <w:numFmt w:val="bullet"/>
      <w:lvlText w:val="○"/>
      <w:lvlJc w:val="left"/>
      <w:pPr>
        <w:ind w:left="3600" w:hanging="360"/>
      </w:pPr>
    </w:lvl>
    <w:lvl w:ilvl="5" w:tplc="BB3A204E">
      <w:start w:val="1"/>
      <w:numFmt w:val="bullet"/>
      <w:lvlText w:val="■"/>
      <w:lvlJc w:val="left"/>
      <w:pPr>
        <w:ind w:left="4320" w:hanging="360"/>
      </w:pPr>
    </w:lvl>
    <w:lvl w:ilvl="6" w:tplc="A510C2F2">
      <w:start w:val="1"/>
      <w:numFmt w:val="bullet"/>
      <w:lvlText w:val="●"/>
      <w:lvlJc w:val="left"/>
      <w:pPr>
        <w:ind w:left="5040" w:hanging="360"/>
      </w:pPr>
    </w:lvl>
    <w:lvl w:ilvl="7" w:tplc="36D02FBC">
      <w:start w:val="1"/>
      <w:numFmt w:val="bullet"/>
      <w:lvlText w:val="●"/>
      <w:lvlJc w:val="left"/>
      <w:pPr>
        <w:ind w:left="5760" w:hanging="360"/>
      </w:pPr>
    </w:lvl>
    <w:lvl w:ilvl="8" w:tplc="93D01F50">
      <w:start w:val="1"/>
      <w:numFmt w:val="bullet"/>
      <w:lvlText w:val="●"/>
      <w:lvlJc w:val="left"/>
      <w:pPr>
        <w:ind w:left="6480" w:hanging="360"/>
      </w:pPr>
    </w:lvl>
  </w:abstractNum>
  <w:num w:numId="1" w16cid:durableId="19535921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27A"/>
    <w:rsid w:val="000A150F"/>
    <w:rsid w:val="00287DD9"/>
    <w:rsid w:val="00351121"/>
    <w:rsid w:val="00454F77"/>
    <w:rsid w:val="00675234"/>
    <w:rsid w:val="00781B41"/>
    <w:rsid w:val="00FD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86AC05A"/>
  <w15:docId w15:val="{3D28F9DE-1CC2-3549-AAD2-DBD64B807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N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480" w:lineRule="auto"/>
      <w:ind w:firstLine="720"/>
    </w:pPr>
    <w:rPr>
      <w:sz w:val="24"/>
      <w:szCs w:val="24"/>
      <w:rFonts w:ascii="Times New Roman" w:cs="Times New Roman" w:eastAsia="Times New Roman" w:hAnsi="Times New Roman"/>
    </w:rPr>
  </w:style>
  <w:style w:type="paragraph" w:styleId="Heading1">
    <w:name w:val="heading 1"/>
    <w:basedOn w:val="Normal"/>
    <w:next w:val="Normal"/>
    <w:uiPriority w:val="9"/>
    <w:qFormat/>
    <w:pPr>
      <w:ind w:firstLine="0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unhideWhenUsed/>
    <w:qFormat/>
    <w:pPr>
      <w:ind w:firstLine="0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ind w:firstLine="0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uiPriority w:val="9"/>
    <w:unhideWhenUsed/>
    <w:qFormat/>
    <w:pPr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unhideWhenUsed/>
    <w:qFormat/>
    <w:pPr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ind w:firstLine="0"/>
      <w:jc w:val="center"/>
    </w:p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</w:style>
  <w:style w:type="character" w:styleId="Hyperlink">
    <w:name w:val="Hyperlink"/>
    <w:uiPriority w:val="99"/>
    <w:unhideWhenUsed/>
    <w:rPr>
      <w:color w:val="1F80E8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Bibliography">
    <w:name w:val="Bibliography"/>
    <w:basedOn w:val="Normal"/>
    <w:pPr>
      <w:ind w:left="720" w:hanging="720"/>
    </w:pPr>
  </w:style>
  <w:style w:type="paragraph" w:customStyle="1" w:styleId="BibliographyAnnotation">
    <w:name w:val="Bibliography Annotation"/>
    <w:basedOn w:val="Normal"/>
    <w:pPr>
      <w:ind w:left="720"/>
    </w:pPr>
  </w:style>
  <w:style w:type="paragraph" w:customStyle="1" w:styleId="BibliographyAnnotationFirstLine">
    <w:name w:val="Bibliography Annotation First Line"/>
    <w:basedOn w:val="BibliographyAnnotation"/>
    <w:next w:val="BibliographyAnnotation"/>
    <w:pPr>
      <w:ind w:firstLine="0"/>
    </w:pPr>
  </w:style>
  <w:style w:type="paragraph" w:customStyle="1" w:styleId="BibliographyAnnotationMultiLine">
    <w:name w:val="Bibliography Annotation Multi Line"/>
    <w:basedOn w:val="BibliographyAnnotation"/>
  </w:style>
  <w:style w:type="paragraph" w:customStyle="1" w:styleId="BibliographyAnnotationMultiLineFirstLine">
    <w:name w:val="Bibliography Annotation Multi Line First Line"/>
    <w:basedOn w:val="BibliographyAnnotationFirstLine"/>
    <w:next w:val="BibliographyAnnotationMultiLine"/>
  </w:style>
  <w:style w:type="paragraph" w:styleId="Header">
    <w:name w:val="header"/>
    <w:basedOn w:val="Normal"/>
    <w:pPr>
      <w:spacing w:line="240" w:lineRule="auto"/>
      <w:ind w:firstLine="0"/>
    </w:pPr>
  </w:style>
  <w:style w:type="paragraph" w:styleId="ListBullet">
    <w:name w:val="List Bullet"/>
    <w:basedOn w:val="Normal"/>
    <w:pPr>
      <w:numPr>
        <w:numId w:val="1"/>
      </w:numPr>
      <w:ind w:left="108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7523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234"/>
    <w:rPr>
      <w:sz w:val="24"/>
      <w:szCs w:val="24"/>
      <w:rFonts w:ascii="Times New Roman" w:cs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Tobias Klevenz</cp:lastModifiedBy>
  <cp:revision>4</cp:revision>
  <dcterms:created xsi:type="dcterms:W3CDTF">2022-05-31T12:50:00Z</dcterms:created>
  <dcterms:modified xsi:type="dcterms:W3CDTF">2024-04-09T12:49:00Z</dcterms:modified>
</cp:coreProperties>
</file>